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A54" w:rsidRPr="00E30253" w:rsidRDefault="002D5A54" w:rsidP="00E302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253">
        <w:rPr>
          <w:rFonts w:ascii="Times New Roman" w:hAnsi="Times New Roman" w:cs="Times New Roman"/>
          <w:b/>
          <w:sz w:val="24"/>
          <w:szCs w:val="24"/>
        </w:rPr>
        <w:t>Szlavi</w:t>
      </w:r>
      <w:r w:rsidR="004D4A98" w:rsidRPr="00E30253">
        <w:rPr>
          <w:rFonts w:ascii="Times New Roman" w:hAnsi="Times New Roman" w:cs="Times New Roman"/>
          <w:b/>
          <w:sz w:val="24"/>
          <w:szCs w:val="24"/>
        </w:rPr>
        <w:t>sztika (ukrán) alapképzési szak</w:t>
      </w:r>
    </w:p>
    <w:p w:rsidR="002D5A54" w:rsidRPr="002D5A54" w:rsidRDefault="002D5A54" w:rsidP="00E302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 xml:space="preserve">A Nyíregyházi Egyetem </w:t>
      </w:r>
      <w:r w:rsidR="004C6E2E">
        <w:rPr>
          <w:rFonts w:ascii="Times New Roman" w:hAnsi="Times New Roman" w:cs="Times New Roman"/>
          <w:sz w:val="24"/>
          <w:szCs w:val="24"/>
        </w:rPr>
        <w:t>s</w:t>
      </w:r>
      <w:r w:rsidRPr="002D5A54">
        <w:rPr>
          <w:rFonts w:ascii="Times New Roman" w:hAnsi="Times New Roman" w:cs="Times New Roman"/>
          <w:sz w:val="24"/>
          <w:szCs w:val="24"/>
        </w:rPr>
        <w:t xml:space="preserve">zlavisztika (ukrán) alapképzési </w:t>
      </w:r>
      <w:proofErr w:type="spellStart"/>
      <w:r w:rsidRPr="002D5A54">
        <w:rPr>
          <w:rFonts w:ascii="Times New Roman" w:hAnsi="Times New Roman" w:cs="Times New Roman"/>
          <w:sz w:val="24"/>
          <w:szCs w:val="24"/>
        </w:rPr>
        <w:t>szakán</w:t>
      </w:r>
      <w:proofErr w:type="spellEnd"/>
      <w:r w:rsidRPr="002D5A54">
        <w:rPr>
          <w:rFonts w:ascii="Times New Roman" w:hAnsi="Times New Roman" w:cs="Times New Roman"/>
          <w:sz w:val="24"/>
          <w:szCs w:val="24"/>
        </w:rPr>
        <w:t xml:space="preserve"> a 2025–2026-os tanévben végzett hallgatói elégedettségmérés eredményei összességében pozitív képet mutatnak a képzés működéséről, az oktatók szakmai felkészültségéről, a tanár–hallgató kapcsolatról, a szakmai gyakorlatok szervezettségéről és a hallgatók szakmai elkötelezettségéről. Különösen kedvező változás, hogy a felmérésben való részvételi arány jelentősen növekedett: a kérdőívet 26 hallgató töltötte ki, ami 65%-os részvételi arányt jelent. Ez számottevő emelkedés a 2024–2025-ös tanév 40%-os részvételéhez képest, és arra utal, hogy erősödött a hallgatók hajlandósága a képzés működésével kapcsolatos véleményük és tapasztalataik megosztására. A magasabb válaszadási arány egyúttal szélesebb hallgatói kör véleményén</w:t>
      </w:r>
      <w:r>
        <w:rPr>
          <w:rFonts w:ascii="Times New Roman" w:hAnsi="Times New Roman" w:cs="Times New Roman"/>
          <w:sz w:val="24"/>
          <w:szCs w:val="24"/>
        </w:rPr>
        <w:t>ek megismerését teszi lehetővé.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>Az oktatás színvonalának megítélése továbbra is kedvező. A válaszadók 65,38%-a szerint magas színvonalú oktatás folyik a szakon, további 30,77% pedig megfelelőnek tartja az oktatás színvonalát. Így a hallgatók összesen 96,15%-a pozitívan értékelte a képzés oktatási színvonalát. Mindössze 3,85% érzékeli azt erősen hullámzónak, míg az oktatás színvonalát egyetlen válaszadó sem minősítette alacsonynak. A 2024–2025-ös tanévhez képest csökkent ugyan a „magas színvonalú” minősítést választók aránya, ugyanakkor az összesített pozitív megítélés továbbra is rendkívül magas. Ez arra utal, hogy a képzés minőségével kapcsolato</w:t>
      </w:r>
      <w:r>
        <w:rPr>
          <w:rFonts w:ascii="Times New Roman" w:hAnsi="Times New Roman" w:cs="Times New Roman"/>
          <w:sz w:val="24"/>
          <w:szCs w:val="24"/>
        </w:rPr>
        <w:t>s általános elégedettség stabil.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 xml:space="preserve">Az oktatók szakmai felkészültségének értékelése ugyancsak egyértelműen pozitív. A hallgatók 76,92%-a kiemelkedőnek, 23,08%-a pedig megfelelőnek tartja az oktatók szakmai felkészültségét. Különösen fontos eredmény, hogy egyetlen válaszadó sem ítélte az oktatói felkészültséget erősen változónak, nem naprakésznek vagy szakmailag hiányosnak. A válaszok alapján tehát az oktatók szakmai kompetenciájának megítélése 100%-ban pozitív. Bár a kiemelkedő minősítések aránya valamivel alacsonyabb a 2024–2025-ös tanév 85,71%-os értékénél, a megfelelő és kiemelkedő kategóriák együttes aránya változatlanul teljes körű </w:t>
      </w:r>
      <w:r>
        <w:rPr>
          <w:rFonts w:ascii="Times New Roman" w:hAnsi="Times New Roman" w:cs="Times New Roman"/>
          <w:sz w:val="24"/>
          <w:szCs w:val="24"/>
        </w:rPr>
        <w:t>hallgatói elégedettséget jelez.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>A képességfejlesztésre vonatkozó eredmények alapján a képzés több, egymást kiegészítő kompetenciaterület fejlődését támogatja. A hallgatók legnagyobb arányban a gondolkodás fejlesztését jelölték meg (76,92%), amelyet a lexikális tudás bővítése és a kommunikációs képességek fejlődése követ, egyaránt 73,08%-os eredménnyel. Az önálló tanulás és gyakorlás fejlesztő hatását a válaszadók 61,54%-a, az önkifejezés fejlődését pedig 57,69%-a emelte ki. A megszerzett kompetenciák, ismeretek és készségek alkalmazását, valamint a csapatmunka fejlődését egyaránt 46,15% jel</w:t>
      </w:r>
      <w:r>
        <w:rPr>
          <w:rFonts w:ascii="Times New Roman" w:hAnsi="Times New Roman" w:cs="Times New Roman"/>
          <w:sz w:val="24"/>
          <w:szCs w:val="24"/>
        </w:rPr>
        <w:t>ölte meg.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>Az eredmények azt mutatják, hogy a korábban is meghatározó kognitív és tudásalapú fejlesztés mellett a hallgatók egyre hangsúlyosabban érzékelik a kommunikációs és önkifejezési képességek fejlődését is. Ez a nyelvi és filológiai képzés sajátosságai szempontjából különösen kedvező tendencia. Ugyanakkor a kreativitás (34,62%), az innováció (26,92%), a tolerancia (26,92%) és különösen a vitakészség (11,54%) alacsonyabb arányú említése olyan területeket jelez, amelyek célzott fejlesztése tovább erősítheti a képzés kompetenciafejlesztő hatását. Ennek érdekében indokolt lehet a vitaalapú szemináriumi módszerek, a projektfeladatok, a problémaközpontú oktatás és az együttműködésre ép</w:t>
      </w:r>
      <w:r>
        <w:rPr>
          <w:rFonts w:ascii="Times New Roman" w:hAnsi="Times New Roman" w:cs="Times New Roman"/>
          <w:sz w:val="24"/>
          <w:szCs w:val="24"/>
        </w:rPr>
        <w:t>ülő feladatok további bővítése.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 xml:space="preserve">A tantárgyi követelményrendszer megítélése kiegyensúlyozott és egyértelműen pozitív. A válaszadók 50%-a magasnak, de teljesíthetőnek tartja a követelményeket, míg további 50% szerint azok reálisak és arányosak a közvetített tananyaggal. Egyetlen hallgató sem választotta </w:t>
      </w:r>
      <w:r w:rsidRPr="002D5A54">
        <w:rPr>
          <w:rFonts w:ascii="Times New Roman" w:hAnsi="Times New Roman" w:cs="Times New Roman"/>
          <w:sz w:val="24"/>
          <w:szCs w:val="24"/>
        </w:rPr>
        <w:lastRenderedPageBreak/>
        <w:t>a „nagyon nehezen teljesíthető” vagy az „alacsony követelmények” válaszlehetőséget. Az eredmény megegyezik az előző tanév alapvető tendenciájával, és azt jelzi, hogy a szak követelményrendszere megfelelő egyensúlyt teremt a szakmai igényess</w:t>
      </w:r>
      <w:r>
        <w:rPr>
          <w:rFonts w:ascii="Times New Roman" w:hAnsi="Times New Roman" w:cs="Times New Roman"/>
          <w:sz w:val="24"/>
          <w:szCs w:val="24"/>
        </w:rPr>
        <w:t>ég és a teljesíthetőség között.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 xml:space="preserve">Az oktatók és a hallgatók közötti kapcsolat értékelése továbbra is a szak egyik jelentős erőssége. A segítségnyújtás és a konzultációs lehetőségek biztosítása 5,88-as, a kölcsönös tisztelet és megbecsülés 5,77-es átlagértéket kapott a hatfokú skálán. A partneri viszony értékelése 5,31 pont, ami szintén magas elégedettségi szintet jelez. 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 xml:space="preserve">A képzési infrastruktúra értékelése összességében kedvező, ugyanakkor ezen a területen jelentősebb különbségek figyelhetők meg az egyes szolgáltatások között. A legmagasabb értékelést a jegyzetellátottság kapta 5,40-es átlaggal, ezt a gyakorlótermek biztosítása (5,36), az oktatástechnikai háttér (5,33), a laborok, műhelyek és gyakorlótermek felszereltsége (5,18), valamint az akadálymentesítés minősége (5,14) követi. 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 xml:space="preserve">Alacsonyabb elégedettségi érték figyelhető meg a tantermek felszereltsége esetében, amelyek egyaránt 4,75 pontot kaptak, valamint a számítógépek elérhetősége terén, amelynek átlaga 4,50. A leggyengébb infrastruktúra-mutató továbbra is az internet-elérhetőség, amely 4,05-ös átlagértéket kapott. Mivel már a korábbi tanév értékelése is fejlesztendő területként azonosította az internet-hozzáférést, indokolt ennek kiemelt kezelése, különösen azért, mert a korszerű nyelvészeti, fordítási és filológiai képzésben egyre nagyobb szerepet kapnak </w:t>
      </w:r>
      <w:r>
        <w:rPr>
          <w:rFonts w:ascii="Times New Roman" w:hAnsi="Times New Roman" w:cs="Times New Roman"/>
          <w:sz w:val="24"/>
          <w:szCs w:val="24"/>
        </w:rPr>
        <w:t>az online oktatási felületek.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>A szak által szervezett tanulmányutak és egyéb szakmai programok értékelése kiemelkedően pozitív. A hallgatók 84,62%-a teljes mértékben elégedett ezekkel a lehetőségekkel és azok számával. A válaszadók 7,69%-a szerint csak kevés hallgató számára biztosítottak ezek a lehetőségek, további 7,69% pedig úgy nyilatkozott, hogy a szakon egyáltalán nem szerveznek ilyen utakat. A válaszok közötti eltérés arra utalhat, hogy a programokról szóló információk nem minden hallgatói csoporthoz azonos mértékben jutnak el. A jövőben ezért célszerű a tanulmányutakról, mobilitási programokról és szakmai rendezvényekről szóló kommunikáció további egységesítése és több c</w:t>
      </w:r>
      <w:r>
        <w:rPr>
          <w:rFonts w:ascii="Times New Roman" w:hAnsi="Times New Roman" w:cs="Times New Roman"/>
          <w:sz w:val="24"/>
          <w:szCs w:val="24"/>
        </w:rPr>
        <w:t>satornán történő megvalósítása.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>A Tanulmányi és Felvételi Csoport működésének értékelése összességében kedvező. A legmagasabb pontszámot az ügyintézés pontossága kapta 5,42-es átlaggal. A dolgozók szakmai felkészültsége és tájékozottsága, valamint a hallgatói tájékoztatás minősége egyaránt 5,23 pontot ért el. Az ügyintézés gyorsasága és a dolgozók segítőkészsége 5,00 pontot kapott, míg a fogadóórák időtartamának és időpontjának megfelelősége 4,85-ös átlaggal a legalacsonyabban értékelt tényező. Az eredmények alapján az ügyintézés alapvetően megbízható, ugyanakkor a hallgatói igényekhez jobban igazodó fogadóórák és rugalmasabb elérhetőség tovább javíthatná a</w:t>
      </w:r>
      <w:r>
        <w:rPr>
          <w:rFonts w:ascii="Times New Roman" w:hAnsi="Times New Roman" w:cs="Times New Roman"/>
          <w:sz w:val="24"/>
          <w:szCs w:val="24"/>
        </w:rPr>
        <w:t>z elégedettséget.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 xml:space="preserve">Az intézeti adminisztráció értékelése szintén stabilan pozitív. Az ügyintézés gyorsasága 5,35, pontossága 5,27, a dolgozó felkészültsége és informáltsága, valamint a hallgatók tájékoztatásának minősége egyaránt 5,19 pontot kapott. Az iroda </w:t>
      </w:r>
      <w:proofErr w:type="spellStart"/>
      <w:r w:rsidRPr="002D5A54">
        <w:rPr>
          <w:rFonts w:ascii="Times New Roman" w:hAnsi="Times New Roman" w:cs="Times New Roman"/>
          <w:sz w:val="24"/>
          <w:szCs w:val="24"/>
        </w:rPr>
        <w:t>nyitvatartásának</w:t>
      </w:r>
      <w:proofErr w:type="spellEnd"/>
      <w:r w:rsidRPr="002D5A54">
        <w:rPr>
          <w:rFonts w:ascii="Times New Roman" w:hAnsi="Times New Roman" w:cs="Times New Roman"/>
          <w:sz w:val="24"/>
          <w:szCs w:val="24"/>
        </w:rPr>
        <w:t xml:space="preserve"> és a dolgozó elérhetőségének értékelése 5,12 pont. Ezek az eredmények azt mutatják, hogy az intézeti adminisztráció működését a hallgatók megbízhatónak, szakmailag megfelelőnek </w:t>
      </w:r>
      <w:r>
        <w:rPr>
          <w:rFonts w:ascii="Times New Roman" w:hAnsi="Times New Roman" w:cs="Times New Roman"/>
          <w:sz w:val="24"/>
          <w:szCs w:val="24"/>
        </w:rPr>
        <w:t>és támogató jellegűnek tartják.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 xml:space="preserve">A tanulmányi rugalmassággal és a kreditelismeréssel kapcsolatos eredmények különösen </w:t>
      </w:r>
      <w:proofErr w:type="spellStart"/>
      <w:r w:rsidRPr="002D5A54">
        <w:rPr>
          <w:rFonts w:ascii="Times New Roman" w:hAnsi="Times New Roman" w:cs="Times New Roman"/>
          <w:sz w:val="24"/>
          <w:szCs w:val="24"/>
        </w:rPr>
        <w:t>kedvezőek</w:t>
      </w:r>
      <w:proofErr w:type="spellEnd"/>
      <w:r w:rsidRPr="002D5A54">
        <w:rPr>
          <w:rFonts w:ascii="Times New Roman" w:hAnsi="Times New Roman" w:cs="Times New Roman"/>
          <w:sz w:val="24"/>
          <w:szCs w:val="24"/>
        </w:rPr>
        <w:t xml:space="preserve">. A más intézményekben szerzett kreditek elismertetése 5,60, az intézményen belül más képzésben megszerzett kreditek elismertetése 5,54, az órarend </w:t>
      </w:r>
      <w:r w:rsidRPr="002D5A54">
        <w:rPr>
          <w:rFonts w:ascii="Times New Roman" w:hAnsi="Times New Roman" w:cs="Times New Roman"/>
          <w:sz w:val="24"/>
          <w:szCs w:val="24"/>
        </w:rPr>
        <w:lastRenderedPageBreak/>
        <w:t>rugalmas alakításának lehetősége pedig 5,48 pontot kapott. Ezek a mutatók arra utalnak, hogy a hallgatók pozitívan értékelik a szak tanulmányi rendszerének rugalmasságát és a korábban megszerzett t</w:t>
      </w:r>
      <w:r>
        <w:rPr>
          <w:rFonts w:ascii="Times New Roman" w:hAnsi="Times New Roman" w:cs="Times New Roman"/>
          <w:sz w:val="24"/>
          <w:szCs w:val="24"/>
        </w:rPr>
        <w:t>udás elismerésének gyakorlatát.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>A szak reputációjának és munkaerőpiaci helyzetének megítélése továbbra is pozitív, bár az előző tanévhez képest ezen a területen mérsékeltebb értékek figyelhetők meg. A szak hírneve 5,35, az itt szerzett szakképzettség piacképessége 5,04, a végzett hallgatók elhelyezkedési esélyei pedig 4,85 pontot kaptak. A „nem tudom megítélni” válaszhoz kapcsolódó 4,12-es érték arra is utalhat, hogy a hallgatók egy részének nincs elegendő információja a végzettek szakmai életútjáról és elhelyezkedési lehetőségeirő</w:t>
      </w:r>
      <w:r>
        <w:rPr>
          <w:rFonts w:ascii="Times New Roman" w:hAnsi="Times New Roman" w:cs="Times New Roman"/>
          <w:sz w:val="24"/>
          <w:szCs w:val="24"/>
        </w:rPr>
        <w:t>l. Ennek alapján célszerű lehet</w:t>
      </w:r>
      <w:r w:rsidRPr="002D5A54">
        <w:rPr>
          <w:rFonts w:ascii="Times New Roman" w:hAnsi="Times New Roman" w:cs="Times New Roman"/>
          <w:sz w:val="24"/>
          <w:szCs w:val="24"/>
        </w:rPr>
        <w:t xml:space="preserve"> a végzett hallgatók szakmai pályájának bemutatása, valamint a lehetséges karrierutakr</w:t>
      </w:r>
      <w:r>
        <w:rPr>
          <w:rFonts w:ascii="Times New Roman" w:hAnsi="Times New Roman" w:cs="Times New Roman"/>
          <w:sz w:val="24"/>
          <w:szCs w:val="24"/>
        </w:rPr>
        <w:t>ól szóló tájékoztatás bővítése.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>Kiemelkedően pozitív eredmény, hogy a válaszadók 100%-a az itt szerzett szakképzettségének megfelelő területen szeretne elhelyezkedni. Ez az adat egyértelműen jelzi a hallgatók erős szakmai motivációját és a választott képzési terület iránti elkötelezettségét. Az eredmény egyúttal megerősíti annak szükségességét, hogy a szak továbbra is szoros kapcsolatot tartson fenn a potenciális munkaadókkal és szakmai partnerekkel, és minél több gyakorlati tapasztalatszerzési lehetősé</w:t>
      </w:r>
      <w:r>
        <w:rPr>
          <w:rFonts w:ascii="Times New Roman" w:hAnsi="Times New Roman" w:cs="Times New Roman"/>
          <w:sz w:val="24"/>
          <w:szCs w:val="24"/>
        </w:rPr>
        <w:t>get biztosítson a hallgatóknak.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>A nyílt hallgatói megjegyzések fontos és konkrét fejlesztési igényeket fogalmaznak me</w:t>
      </w:r>
      <w:r>
        <w:rPr>
          <w:rFonts w:ascii="Times New Roman" w:hAnsi="Times New Roman" w:cs="Times New Roman"/>
          <w:sz w:val="24"/>
          <w:szCs w:val="24"/>
        </w:rPr>
        <w:t>g. A hallgatók elégedettségmérése alapján</w:t>
      </w:r>
      <w:r w:rsidRPr="002D5A54">
        <w:rPr>
          <w:rFonts w:ascii="Times New Roman" w:hAnsi="Times New Roman" w:cs="Times New Roman"/>
          <w:sz w:val="24"/>
          <w:szCs w:val="24"/>
        </w:rPr>
        <w:t xml:space="preserve"> ismételten felmerült a BA-képzést követő továbbtanulási lehetőség hiánya. Ugyanakkor olyan vélemény is érkezett, amely szerint a képzés jelenlegi működése megfelelő, és nincs szükség lényeges változtatásra. </w:t>
      </w:r>
      <w:r w:rsidR="004D4A98" w:rsidRPr="004D4A98">
        <w:rPr>
          <w:rFonts w:ascii="Times New Roman" w:hAnsi="Times New Roman" w:cs="Times New Roman"/>
          <w:sz w:val="24"/>
          <w:szCs w:val="24"/>
        </w:rPr>
        <w:t>A megjegyzések alapján egy fontos fejlesztési igény rajzolódik ki: a szlavisztikai és ukrán nyelvi tanulmányok magasabb képzési szinten történő folytatásának biztosítása.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>A válaszadók munkarend szerinti megoszlása alapján a felmérésben részt vevők 42,31%-a nappali, 57,69%-a pedig levelező munkarendben folytatja tanulmányait. A levelező hallgatók magas aránya különösen fontossá teszi a rugalmas tanulmányi szervezést, az elektronikus tananyagok hozzáférhetőségét, a megfelelő online kommunikációt és a konzultációs lehetőségek hallgatói élethe</w:t>
      </w:r>
      <w:r w:rsidR="004D4A98">
        <w:rPr>
          <w:rFonts w:ascii="Times New Roman" w:hAnsi="Times New Roman" w:cs="Times New Roman"/>
          <w:sz w:val="24"/>
          <w:szCs w:val="24"/>
        </w:rPr>
        <w:t>lyzetekhez igazodó szervezését.</w:t>
      </w:r>
    </w:p>
    <w:p w:rsidR="002D5A54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 xml:space="preserve">Összességében a 2025–2026-os tanév hallgatói elégedettségmérésének eredményei alapján a </w:t>
      </w:r>
      <w:r w:rsidR="004C6E2E">
        <w:rPr>
          <w:rFonts w:ascii="Times New Roman" w:hAnsi="Times New Roman" w:cs="Times New Roman"/>
          <w:sz w:val="24"/>
          <w:szCs w:val="24"/>
        </w:rPr>
        <w:t>s</w:t>
      </w:r>
      <w:r w:rsidRPr="002D5A54">
        <w:rPr>
          <w:rFonts w:ascii="Times New Roman" w:hAnsi="Times New Roman" w:cs="Times New Roman"/>
          <w:sz w:val="24"/>
          <w:szCs w:val="24"/>
        </w:rPr>
        <w:t>zlavisztika (ukrán) alapképzési szak működése stabil és eredményes. A felmérés egyik legfontosabb pozitív változása a részvételi arány 40%-</w:t>
      </w:r>
      <w:proofErr w:type="spellStart"/>
      <w:r w:rsidRPr="002D5A54">
        <w:rPr>
          <w:rFonts w:ascii="Times New Roman" w:hAnsi="Times New Roman" w:cs="Times New Roman"/>
          <w:sz w:val="24"/>
          <w:szCs w:val="24"/>
        </w:rPr>
        <w:t>ról</w:t>
      </w:r>
      <w:proofErr w:type="spellEnd"/>
      <w:r w:rsidRPr="002D5A54">
        <w:rPr>
          <w:rFonts w:ascii="Times New Roman" w:hAnsi="Times New Roman" w:cs="Times New Roman"/>
          <w:sz w:val="24"/>
          <w:szCs w:val="24"/>
        </w:rPr>
        <w:t xml:space="preserve"> 65%-</w:t>
      </w:r>
      <w:proofErr w:type="spellStart"/>
      <w:r w:rsidRPr="002D5A54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2D5A54">
        <w:rPr>
          <w:rFonts w:ascii="Times New Roman" w:hAnsi="Times New Roman" w:cs="Times New Roman"/>
          <w:sz w:val="24"/>
          <w:szCs w:val="24"/>
        </w:rPr>
        <w:t xml:space="preserve"> történő növekedése, amely a hallgatói visszajelzési kultúra erősödését jelzi. Az oktatás színvonalának összesített pozitív megítélése 96,15%, az oktatók szakmai felkészültségének értékelése pedig 100%-ban kedvező. A szak erősségei között kiemelhető az oktatók magas szakmai színvonala, a támogató tanár–</w:t>
      </w:r>
      <w:r w:rsidR="004D4A98">
        <w:rPr>
          <w:rFonts w:ascii="Times New Roman" w:hAnsi="Times New Roman" w:cs="Times New Roman"/>
          <w:sz w:val="24"/>
          <w:szCs w:val="24"/>
        </w:rPr>
        <w:t>hallgató kapcsolat</w:t>
      </w:r>
      <w:r w:rsidRPr="002D5A54">
        <w:rPr>
          <w:rFonts w:ascii="Times New Roman" w:hAnsi="Times New Roman" w:cs="Times New Roman"/>
          <w:sz w:val="24"/>
          <w:szCs w:val="24"/>
        </w:rPr>
        <w:t>, a tanulmányutak kedvező megítélése, a rugalmas kreditelismerés, valamint a hallgatók kiemelkedően</w:t>
      </w:r>
      <w:r w:rsidR="004D4A98">
        <w:rPr>
          <w:rFonts w:ascii="Times New Roman" w:hAnsi="Times New Roman" w:cs="Times New Roman"/>
          <w:sz w:val="24"/>
          <w:szCs w:val="24"/>
        </w:rPr>
        <w:t xml:space="preserve"> erős szakmai elkötelezettsége.</w:t>
      </w:r>
    </w:p>
    <w:p w:rsidR="007F6F47" w:rsidRPr="002D5A54" w:rsidRDefault="002D5A54" w:rsidP="004D4A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A54">
        <w:rPr>
          <w:rFonts w:ascii="Times New Roman" w:hAnsi="Times New Roman" w:cs="Times New Roman"/>
          <w:sz w:val="24"/>
          <w:szCs w:val="24"/>
        </w:rPr>
        <w:t>A következő időszak fejlesztési feladatai elsősorban az internet-elérhetőség javítására, a személyes és szakmai párbes</w:t>
      </w:r>
      <w:r w:rsidR="004D4A98">
        <w:rPr>
          <w:rFonts w:ascii="Times New Roman" w:hAnsi="Times New Roman" w:cs="Times New Roman"/>
          <w:sz w:val="24"/>
          <w:szCs w:val="24"/>
        </w:rPr>
        <w:t xml:space="preserve">zéd erősítésére, a </w:t>
      </w:r>
      <w:r w:rsidRPr="002D5A54">
        <w:rPr>
          <w:rFonts w:ascii="Times New Roman" w:hAnsi="Times New Roman" w:cs="Times New Roman"/>
          <w:sz w:val="24"/>
          <w:szCs w:val="24"/>
        </w:rPr>
        <w:t>kommunikáció</w:t>
      </w:r>
      <w:r w:rsidR="004C6E2E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2D5A54">
        <w:rPr>
          <w:rFonts w:ascii="Times New Roman" w:hAnsi="Times New Roman" w:cs="Times New Roman"/>
          <w:sz w:val="24"/>
          <w:szCs w:val="24"/>
        </w:rPr>
        <w:t>központú foglalkozások lehetőség szerinti bővítésére, a vitakészség és az innovatív kompetenciák tudatosabb fejlesztésére, továbbá a karrierlehetőségekkel és szakmai programokkal kapcsolatos tájékoztatás további erősítésére irányulhatnak. A hallgatók által ismételten megfogalmazott továbbtanulási igény pedig indokolttá teszi annak hosszabb távú stratégiai mérlegelését, hogy milyen formában biztosítható a szakon végzettek számára a tanulmányok magasabb képzési szinten történő folytatása.</w:t>
      </w:r>
    </w:p>
    <w:sectPr w:rsidR="007F6F47" w:rsidRPr="002D5A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A54"/>
    <w:rsid w:val="002D5A54"/>
    <w:rsid w:val="004C6E2E"/>
    <w:rsid w:val="004D4A98"/>
    <w:rsid w:val="005D69F1"/>
    <w:rsid w:val="007F6F47"/>
    <w:rsid w:val="00E3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4C69"/>
  <w15:chartTrackingRefBased/>
  <w15:docId w15:val="{BF295498-F27B-4C9E-86C3-4F09604A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1392</Words>
  <Characters>9610</Characters>
  <Application>Microsoft Office Word</Application>
  <DocSecurity>0</DocSecurity>
  <Lines>80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Dr. habil Minya Károly PhD</cp:lastModifiedBy>
  <cp:revision>4</cp:revision>
  <dcterms:created xsi:type="dcterms:W3CDTF">2026-07-15T12:39:00Z</dcterms:created>
  <dcterms:modified xsi:type="dcterms:W3CDTF">2026-07-15T12:48:00Z</dcterms:modified>
</cp:coreProperties>
</file>